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EF" w:rsidRDefault="00B638EF" w:rsidP="00B638E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Запрещена реклама на платежных документах на оплату жилищно-коммунальных услуг.</w:t>
      </w:r>
    </w:p>
    <w:p w:rsidR="00B638EF" w:rsidRDefault="00B638EF" w:rsidP="00B638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3 июня 2018 года вступят в законную силу изменения в статьи 5 и 38 Федерального закона «О рекламе», согласно которым не допускается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документов. </w:t>
      </w:r>
    </w:p>
    <w:p w:rsidR="00B638EF" w:rsidRDefault="00B638EF" w:rsidP="00B638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Данный запрет не распространяется на социальную рекламу и справочно-информационные сведения.</w:t>
      </w:r>
    </w:p>
    <w:p w:rsidR="00B638EF" w:rsidRDefault="00B638EF" w:rsidP="00B638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нарушение установленного запрета будет нести рекламораспространитель.</w:t>
      </w:r>
    </w:p>
    <w:p w:rsidR="00B638EF" w:rsidRDefault="00B638EF" w:rsidP="00B638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нарушении запрета накажут за несоблюдение законодательства о рекламе по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ст.</w:t>
        </w:r>
      </w:hyperlink>
      <w:r>
        <w:rPr>
          <w:sz w:val="28"/>
          <w:szCs w:val="28"/>
        </w:rPr>
        <w:t xml:space="preserve"> 14.3 КоАП РФ, где предусмотрены штрафы от 100 тыс. до 500 тыс. руб. для юридических лиц и от 4 тыс. до 20 тыс. руб. для должностных лиц.</w:t>
      </w: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638EF" w:rsidRDefault="00B638EF" w:rsidP="00B638E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sectPr w:rsidR="00B638EF" w:rsidSect="0047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38EF"/>
    <w:rsid w:val="004726AC"/>
    <w:rsid w:val="00B6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8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9FDE37B0DBA91F4EB6A319BB2ACFA20155218D8BED3BDD8901C8AFB7D09FF6CEB28F524FFEV15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2018-04-19T16:37:00Z</dcterms:created>
  <dcterms:modified xsi:type="dcterms:W3CDTF">2018-04-19T16:37:00Z</dcterms:modified>
</cp:coreProperties>
</file>